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C61E" w14:textId="24AF2604" w:rsidR="00E74692" w:rsidRPr="00837827" w:rsidRDefault="00E74692" w:rsidP="00837827">
      <w:pPr>
        <w:jc w:val="center"/>
        <w:rPr>
          <w:rFonts w:cstheme="minorHAnsi"/>
          <w:i/>
          <w:u w:val="single"/>
        </w:rPr>
      </w:pPr>
      <w:r w:rsidRPr="00837827">
        <w:rPr>
          <w:rFonts w:cstheme="minorHAnsi"/>
          <w:i/>
          <w:u w:val="single"/>
        </w:rPr>
        <w:t>Comunicato Stampa</w:t>
      </w:r>
    </w:p>
    <w:p w14:paraId="41B75294" w14:textId="77777777" w:rsidR="004B6517" w:rsidRPr="00837827" w:rsidRDefault="004B6517" w:rsidP="00EA3CF7">
      <w:pPr>
        <w:jc w:val="center"/>
        <w:rPr>
          <w:rFonts w:cstheme="minorHAnsi"/>
          <w:b/>
          <w:i/>
          <w:sz w:val="28"/>
          <w:szCs w:val="28"/>
        </w:rPr>
      </w:pPr>
      <w:r w:rsidRPr="00837827">
        <w:rPr>
          <w:rFonts w:cstheme="minorHAnsi"/>
          <w:b/>
          <w:i/>
          <w:sz w:val="28"/>
          <w:szCs w:val="28"/>
        </w:rPr>
        <w:t>Inaugurato il padiglione del Perù alla 17ª Mostra Internazionale di Architettura della Biennale di Venezia</w:t>
      </w:r>
    </w:p>
    <w:p w14:paraId="5B4D7AD5" w14:textId="5356DC96" w:rsidR="004B6517" w:rsidRDefault="004B6517" w:rsidP="00432CE8">
      <w:pPr>
        <w:shd w:val="clear" w:color="auto" w:fill="FFFFFF"/>
        <w:spacing w:after="240" w:line="240" w:lineRule="auto"/>
        <w:jc w:val="center"/>
        <w:rPr>
          <w:rFonts w:cstheme="minorHAnsi"/>
          <w:i/>
          <w:iCs/>
          <w:shd w:val="clear" w:color="auto" w:fill="FFFFFF"/>
        </w:rPr>
      </w:pPr>
      <w:r w:rsidRPr="00432CE8">
        <w:rPr>
          <w:rFonts w:cstheme="minorHAnsi"/>
          <w:i/>
          <w:iCs/>
          <w:shd w:val="clear" w:color="auto" w:fill="FFFFFF"/>
        </w:rPr>
        <w:t xml:space="preserve">È intervenuto l'architetto Felipe Ferrer, curatore della mostra rappresentante il Perù: </w:t>
      </w:r>
      <w:r w:rsidR="00432CE8">
        <w:rPr>
          <w:rFonts w:cstheme="minorHAnsi"/>
          <w:i/>
          <w:iCs/>
          <w:shd w:val="clear" w:color="auto" w:fill="FFFFFF"/>
        </w:rPr>
        <w:t>“</w:t>
      </w:r>
      <w:r w:rsidRPr="00432CE8">
        <w:rPr>
          <w:rFonts w:cstheme="minorHAnsi"/>
          <w:i/>
          <w:iCs/>
          <w:shd w:val="clear" w:color="auto" w:fill="FFFFFF"/>
        </w:rPr>
        <w:t xml:space="preserve">Playground: artefatti per </w:t>
      </w:r>
      <w:r w:rsidR="00432CE8">
        <w:rPr>
          <w:rFonts w:cstheme="minorHAnsi"/>
          <w:i/>
          <w:iCs/>
          <w:shd w:val="clear" w:color="auto" w:fill="FFFFFF"/>
        </w:rPr>
        <w:t>interagire”</w:t>
      </w:r>
    </w:p>
    <w:p w14:paraId="465954A3" w14:textId="73F6953D" w:rsidR="00A748BF" w:rsidRPr="00432CE8" w:rsidRDefault="00A748BF" w:rsidP="00432CE8">
      <w:pPr>
        <w:shd w:val="clear" w:color="auto" w:fill="FFFFFF"/>
        <w:spacing w:after="240" w:line="240" w:lineRule="auto"/>
        <w:jc w:val="center"/>
        <w:rPr>
          <w:rFonts w:cstheme="minorHAnsi"/>
          <w:i/>
          <w:iCs/>
          <w:shd w:val="clear" w:color="auto" w:fill="FFFFFF"/>
        </w:rPr>
      </w:pPr>
      <w:r>
        <w:rPr>
          <w:noProof/>
          <w:lang w:val="es-PE" w:eastAsia="es-PE"/>
        </w:rPr>
        <w:drawing>
          <wp:inline distT="0" distB="0" distL="0" distR="0" wp14:anchorId="55C8448A" wp14:editId="75D3E309">
            <wp:extent cx="6120130" cy="3162300"/>
            <wp:effectExtent l="0" t="0" r="0" b="0"/>
            <wp:docPr id="4" name="Immagin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 b="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9F6FA" w14:textId="1EA05E4F" w:rsidR="004B6517" w:rsidRPr="00837827" w:rsidRDefault="004B6517" w:rsidP="00837827">
      <w:pPr>
        <w:shd w:val="clear" w:color="auto" w:fill="FFFFFF"/>
        <w:jc w:val="both"/>
        <w:rPr>
          <w:rFonts w:eastAsia="Times New Roman" w:cstheme="minorHAnsi"/>
          <w:bCs/>
          <w:lang w:eastAsia="es-PE"/>
        </w:rPr>
      </w:pPr>
      <w:r w:rsidRPr="00837827">
        <w:rPr>
          <w:rFonts w:cstheme="minorHAnsi"/>
        </w:rPr>
        <w:t>S</w:t>
      </w:r>
      <w:r w:rsidRPr="00837827">
        <w:rPr>
          <w:rFonts w:cstheme="minorHAnsi"/>
          <w:i/>
        </w:rPr>
        <w:t>ettembre</w:t>
      </w:r>
      <w:r w:rsidR="00EA3CF7" w:rsidRPr="00837827">
        <w:rPr>
          <w:rFonts w:cstheme="minorHAnsi"/>
          <w:i/>
        </w:rPr>
        <w:t xml:space="preserve"> 2021</w:t>
      </w:r>
      <w:r w:rsidR="00EA3CF7" w:rsidRPr="00837827">
        <w:rPr>
          <w:rFonts w:cstheme="minorHAnsi"/>
        </w:rPr>
        <w:t xml:space="preserve"> – </w:t>
      </w:r>
      <w:r w:rsidRPr="00837827">
        <w:rPr>
          <w:rFonts w:eastAsia="Times New Roman" w:cstheme="minorHAnsi"/>
          <w:bCs/>
          <w:lang w:eastAsia="es-PE"/>
        </w:rPr>
        <w:t>Nell’ambito del</w:t>
      </w:r>
      <w:r w:rsidR="00432CE8">
        <w:rPr>
          <w:rFonts w:eastAsia="Times New Roman" w:cstheme="minorHAnsi"/>
          <w:bCs/>
          <w:lang w:eastAsia="es-PE"/>
        </w:rPr>
        <w:t xml:space="preserve"> vernissage</w:t>
      </w:r>
      <w:r w:rsidRPr="00837827">
        <w:rPr>
          <w:rFonts w:eastAsia="Times New Roman" w:cstheme="minorHAnsi"/>
          <w:bCs/>
          <w:lang w:eastAsia="es-PE"/>
        </w:rPr>
        <w:t xml:space="preserve"> organizzato dal Collettivo Curatori della 17esima Mostra Internazionale di Architettura della Biennale di Venezia, il padiglione peruviano è stato inaugurato </w:t>
      </w:r>
      <w:r w:rsidR="00432CE8" w:rsidRPr="00837827">
        <w:rPr>
          <w:rFonts w:eastAsia="Times New Roman" w:cstheme="minorHAnsi"/>
          <w:bCs/>
          <w:lang w:eastAsia="es-PE"/>
        </w:rPr>
        <w:t>lo scorso fine settimana</w:t>
      </w:r>
      <w:r w:rsidR="00432CE8">
        <w:rPr>
          <w:rFonts w:eastAsia="Times New Roman" w:cstheme="minorHAnsi"/>
          <w:bCs/>
          <w:lang w:eastAsia="es-PE"/>
        </w:rPr>
        <w:t xml:space="preserve"> </w:t>
      </w:r>
      <w:r w:rsidRPr="00837827">
        <w:rPr>
          <w:rFonts w:eastAsia="Times New Roman" w:cstheme="minorHAnsi"/>
          <w:bCs/>
          <w:lang w:eastAsia="es-PE"/>
        </w:rPr>
        <w:t xml:space="preserve">con una cerimonia intima condotta dal </w:t>
      </w:r>
      <w:r w:rsidRPr="00432CE8">
        <w:rPr>
          <w:rFonts w:eastAsia="Times New Roman" w:cstheme="minorHAnsi"/>
          <w:b/>
          <w:lang w:eastAsia="es-PE"/>
        </w:rPr>
        <w:t>creatore della mostra, l'architetto Felipe Ferrer</w:t>
      </w:r>
      <w:r w:rsidR="00432CE8" w:rsidRPr="00432CE8">
        <w:rPr>
          <w:rFonts w:eastAsia="Times New Roman" w:cstheme="minorHAnsi"/>
          <w:b/>
          <w:lang w:eastAsia="es-PE"/>
        </w:rPr>
        <w:t>.</w:t>
      </w:r>
    </w:p>
    <w:p w14:paraId="4AC47929" w14:textId="1B694BC8" w:rsidR="004B6517" w:rsidRPr="00837827" w:rsidRDefault="004B6517" w:rsidP="00837827">
      <w:pPr>
        <w:jc w:val="both"/>
        <w:rPr>
          <w:rFonts w:eastAsia="Times New Roman" w:cstheme="minorHAnsi"/>
          <w:color w:val="000000"/>
          <w:lang w:eastAsia="es-PE"/>
        </w:rPr>
      </w:pPr>
      <w:r w:rsidRPr="00837827">
        <w:rPr>
          <w:rFonts w:eastAsia="Times New Roman" w:cstheme="minorHAnsi"/>
          <w:color w:val="000000"/>
          <w:lang w:eastAsia="es-PE"/>
        </w:rPr>
        <w:t xml:space="preserve">Il curatore della mostra </w:t>
      </w:r>
      <w:hyperlink r:id="rId9" w:history="1">
        <w:r w:rsidRPr="009F7267">
          <w:rPr>
            <w:rStyle w:val="Collegamentoipertestuale"/>
            <w:rFonts w:eastAsia="Times New Roman" w:cstheme="minorHAnsi"/>
            <w:b/>
            <w:bCs/>
            <w:lang w:eastAsia="es-PE"/>
          </w:rPr>
          <w:t>"Playground: artefatti per interagire"</w:t>
        </w:r>
      </w:hyperlink>
      <w:r w:rsidRPr="00837827">
        <w:rPr>
          <w:rFonts w:eastAsia="Times New Roman" w:cstheme="minorHAnsi"/>
          <w:color w:val="000000"/>
          <w:lang w:eastAsia="es-PE"/>
        </w:rPr>
        <w:t xml:space="preserve"> ha dato il via a una breve discussione sul concetto e sull’esperienza che i visitatori potranno vivere nel padiglione peruviano, situato all'Arsenale di Venezia.</w:t>
      </w:r>
    </w:p>
    <w:p w14:paraId="07068317" w14:textId="39B99CD1" w:rsidR="004B6517" w:rsidRPr="00837827" w:rsidRDefault="004B6517" w:rsidP="00837827">
      <w:pPr>
        <w:jc w:val="both"/>
        <w:rPr>
          <w:rFonts w:cstheme="minorHAnsi"/>
        </w:rPr>
      </w:pPr>
      <w:r w:rsidRPr="00837827">
        <w:rPr>
          <w:rFonts w:cstheme="minorHAnsi"/>
        </w:rPr>
        <w:t>Il progetto è stato concepito intorno ai problemi di sviluppo urbano e di appropriazione degli spazi pubblici, aumentati in diverse regioni del paese sudamericano e in particolare nella città di Lima, tramite l’utilizzo di un elemento principale: le sbarre, che sono sinonimo di paura.</w:t>
      </w:r>
    </w:p>
    <w:p w14:paraId="0CBEB1D5" w14:textId="4EDC32E5" w:rsidR="002C65F4" w:rsidRPr="002C65F4" w:rsidRDefault="004B6517" w:rsidP="002C65F4">
      <w:pPr>
        <w:jc w:val="both"/>
        <w:rPr>
          <w:rFonts w:cstheme="minorHAnsi"/>
        </w:rPr>
      </w:pPr>
      <w:r w:rsidRPr="00837827">
        <w:rPr>
          <w:rFonts w:cstheme="minorHAnsi"/>
        </w:rPr>
        <w:t>La proposta si è concentrata sull’</w:t>
      </w:r>
      <w:r w:rsidRPr="00432CE8">
        <w:rPr>
          <w:rFonts w:cstheme="minorHAnsi"/>
          <w:b/>
          <w:bCs/>
        </w:rPr>
        <w:t xml:space="preserve">abbattimento di questa paura, attraverso la trasformazione </w:t>
      </w:r>
      <w:r w:rsidR="000107DC" w:rsidRPr="00432CE8">
        <w:rPr>
          <w:rFonts w:cstheme="minorHAnsi"/>
          <w:b/>
          <w:bCs/>
        </w:rPr>
        <w:t>delle sbarre</w:t>
      </w:r>
      <w:r w:rsidRPr="00432CE8">
        <w:rPr>
          <w:rFonts w:cstheme="minorHAnsi"/>
          <w:b/>
          <w:bCs/>
        </w:rPr>
        <w:t xml:space="preserve"> in nuovi artefatti che incoraggino l'interazione attraverso il gioco e miglior</w:t>
      </w:r>
      <w:r w:rsidR="000107DC" w:rsidRPr="00432CE8">
        <w:rPr>
          <w:rFonts w:cstheme="minorHAnsi"/>
          <w:b/>
          <w:bCs/>
        </w:rPr>
        <w:t>i</w:t>
      </w:r>
      <w:r w:rsidRPr="00432CE8">
        <w:rPr>
          <w:rFonts w:cstheme="minorHAnsi"/>
          <w:b/>
          <w:bCs/>
        </w:rPr>
        <w:t xml:space="preserve">no la relazione tra i cittadini. </w:t>
      </w:r>
      <w:r w:rsidR="000107DC" w:rsidRPr="00837827">
        <w:rPr>
          <w:rFonts w:cstheme="minorHAnsi"/>
        </w:rPr>
        <w:t>L’elemento emblematico è il dondolo</w:t>
      </w:r>
      <w:r w:rsidRPr="00837827">
        <w:rPr>
          <w:rFonts w:cstheme="minorHAnsi"/>
        </w:rPr>
        <w:t xml:space="preserve">, </w:t>
      </w:r>
      <w:r w:rsidR="000107DC" w:rsidRPr="00837827">
        <w:rPr>
          <w:rFonts w:cstheme="minorHAnsi"/>
        </w:rPr>
        <w:t>in cui è necessario che le due persone trovino il giusto equilibrio per potersi sedere.</w:t>
      </w:r>
    </w:p>
    <w:p w14:paraId="0487DD53" w14:textId="77777777" w:rsidR="002C65F4" w:rsidRDefault="002C65F4" w:rsidP="002C65F4">
      <w:pPr>
        <w:jc w:val="both"/>
        <w:rPr>
          <w:rFonts w:eastAsia="Times New Roman" w:cstheme="minorHAnsi"/>
          <w:color w:val="000000"/>
          <w:lang w:eastAsia="es-PE"/>
        </w:rPr>
      </w:pPr>
      <w:r w:rsidRPr="002C65F4">
        <w:rPr>
          <w:rFonts w:eastAsia="Times New Roman" w:cstheme="minorHAnsi"/>
          <w:color w:val="000000"/>
          <w:lang w:eastAsia="es-PE"/>
        </w:rPr>
        <w:t xml:space="preserve">Così facendo, si vuole evidenziare come, </w:t>
      </w:r>
      <w:r w:rsidRPr="002C65F4">
        <w:rPr>
          <w:rFonts w:eastAsia="Times New Roman" w:cstheme="minorHAnsi"/>
          <w:b/>
          <w:bCs/>
          <w:color w:val="000000"/>
          <w:lang w:eastAsia="es-PE"/>
        </w:rPr>
        <w:t>attraverso l’equilibrio e il gioco, possa nascere la fiducia reciproca, un sentimento che è fondamentale per generare equilibrio e un'interazione armoniosa tra gli esseri umani.</w:t>
      </w:r>
    </w:p>
    <w:p w14:paraId="2BC59B91" w14:textId="488A811C" w:rsidR="002C65F4" w:rsidRPr="00837827" w:rsidRDefault="002C65F4" w:rsidP="002C65F4">
      <w:pPr>
        <w:jc w:val="both"/>
        <w:rPr>
          <w:rFonts w:eastAsia="Times New Roman" w:cstheme="minorHAnsi"/>
          <w:color w:val="000000"/>
          <w:lang w:eastAsia="es-PE"/>
        </w:rPr>
      </w:pPr>
      <w:r w:rsidRPr="002C65F4">
        <w:rPr>
          <w:rFonts w:eastAsia="Times New Roman" w:cstheme="minorHAnsi"/>
          <w:color w:val="000000"/>
          <w:lang w:eastAsia="es-PE"/>
        </w:rPr>
        <w:lastRenderedPageBreak/>
        <w:t>L'ambientazione della mostra include cartelli dissuasori, così come un cancello principale all'ingresso che segna l'inizio dell'esperienza, accompagnata da elementi visivi e sonori.</w:t>
      </w:r>
    </w:p>
    <w:p w14:paraId="0B52351D" w14:textId="77777777" w:rsidR="00837827" w:rsidRPr="00837827" w:rsidRDefault="00837827" w:rsidP="00837827">
      <w:pPr>
        <w:jc w:val="both"/>
        <w:rPr>
          <w:rFonts w:eastAsia="Times New Roman" w:cstheme="minorHAnsi"/>
          <w:b/>
          <w:bCs/>
          <w:lang w:eastAsia="es-PE"/>
        </w:rPr>
      </w:pPr>
      <w:r w:rsidRPr="00837827">
        <w:rPr>
          <w:rFonts w:eastAsia="Times New Roman" w:cstheme="minorHAnsi"/>
          <w:b/>
          <w:bCs/>
          <w:lang w:eastAsia="es-PE"/>
        </w:rPr>
        <w:t>OPERA COLLABORATIVA</w:t>
      </w:r>
    </w:p>
    <w:p w14:paraId="1BA1CFD5" w14:textId="31E7B690" w:rsidR="004B6517" w:rsidRPr="00837827" w:rsidRDefault="00837827" w:rsidP="00837827">
      <w:pPr>
        <w:jc w:val="both"/>
        <w:rPr>
          <w:rFonts w:eastAsia="Times New Roman" w:cstheme="minorHAnsi"/>
          <w:lang w:eastAsia="es-PE"/>
        </w:rPr>
      </w:pPr>
      <w:r w:rsidRPr="00837827">
        <w:rPr>
          <w:rFonts w:eastAsia="Times New Roman" w:cstheme="minorHAnsi"/>
          <w:lang w:eastAsia="es-PE"/>
        </w:rPr>
        <w:t>La</w:t>
      </w:r>
      <w:r w:rsidR="004B6517" w:rsidRPr="00837827">
        <w:rPr>
          <w:rFonts w:eastAsia="Times New Roman" w:cstheme="minorHAnsi"/>
          <w:lang w:eastAsia="es-PE"/>
        </w:rPr>
        <w:t xml:space="preserve"> partecipazione del paese sudamericano è </w:t>
      </w:r>
      <w:r w:rsidRPr="00837827">
        <w:rPr>
          <w:rFonts w:eastAsia="Times New Roman" w:cstheme="minorHAnsi"/>
          <w:lang w:eastAsia="es-PE"/>
        </w:rPr>
        <w:t>possibile grazie</w:t>
      </w:r>
      <w:r w:rsidR="004B6517" w:rsidRPr="00837827">
        <w:rPr>
          <w:rFonts w:eastAsia="Times New Roman" w:cstheme="minorHAnsi"/>
          <w:lang w:eastAsia="es-PE"/>
        </w:rPr>
        <w:t xml:space="preserve"> al </w:t>
      </w:r>
      <w:r w:rsidRPr="00837827">
        <w:rPr>
          <w:rFonts w:eastAsia="Times New Roman" w:cstheme="minorHAnsi"/>
          <w:lang w:eastAsia="es-PE"/>
        </w:rPr>
        <w:t>Patronato Cultural del Perú</w:t>
      </w:r>
      <w:r w:rsidR="004B6517" w:rsidRPr="00837827">
        <w:rPr>
          <w:rFonts w:eastAsia="Times New Roman" w:cstheme="minorHAnsi"/>
          <w:lang w:eastAsia="es-PE"/>
        </w:rPr>
        <w:t xml:space="preserve">, istituzione </w:t>
      </w:r>
      <w:r w:rsidRPr="00837827">
        <w:rPr>
          <w:rFonts w:eastAsia="Times New Roman" w:cstheme="minorHAnsi"/>
          <w:lang w:eastAsia="es-PE"/>
        </w:rPr>
        <w:t xml:space="preserve">che dal 2016 è </w:t>
      </w:r>
      <w:r w:rsidR="004B6517" w:rsidRPr="00837827">
        <w:rPr>
          <w:rFonts w:eastAsia="Times New Roman" w:cstheme="minorHAnsi"/>
          <w:lang w:eastAsia="es-PE"/>
        </w:rPr>
        <w:t>incaricata della produzione e organizzazione del padiglione, con la partecipazione di PROMPERÚ. È anche sostenuto dalla Fondazione Wiese e dal giornale El Comercio; e dal Ministero della Cultura e dal Ministero degli Affari Esteri, dalla Pontificia Università Cattolica del Perù e dall'Università di Lima.</w:t>
      </w:r>
    </w:p>
    <w:p w14:paraId="5A684569" w14:textId="2EDAFA24" w:rsidR="004B6517" w:rsidRPr="00432CE8" w:rsidRDefault="004B6517" w:rsidP="00432CE8">
      <w:pPr>
        <w:pStyle w:val="Paragrafoelenco"/>
        <w:numPr>
          <w:ilvl w:val="0"/>
          <w:numId w:val="2"/>
        </w:numPr>
        <w:shd w:val="clear" w:color="auto" w:fill="FFFFFF"/>
        <w:spacing w:after="0"/>
        <w:jc w:val="both"/>
        <w:rPr>
          <w:rFonts w:cstheme="minorHAnsi"/>
          <w:shd w:val="clear" w:color="auto" w:fill="FFFFFF"/>
          <w:lang w:val="it-IT"/>
        </w:rPr>
      </w:pPr>
      <w:r w:rsidRPr="00432CE8">
        <w:rPr>
          <w:rFonts w:cstheme="minorHAnsi"/>
          <w:shd w:val="clear" w:color="auto" w:fill="FFFFFF"/>
          <w:lang w:val="it-IT"/>
        </w:rPr>
        <w:t xml:space="preserve">L'ingresso al Padiglione del Perù è </w:t>
      </w:r>
      <w:r w:rsidR="00837827" w:rsidRPr="00A748BF">
        <w:rPr>
          <w:rFonts w:cstheme="minorHAnsi"/>
          <w:shd w:val="clear" w:color="auto" w:fill="FFFFFF"/>
          <w:lang w:val="it-IT"/>
        </w:rPr>
        <w:t xml:space="preserve">possibile </w:t>
      </w:r>
      <w:r w:rsidRPr="00432CE8">
        <w:rPr>
          <w:rFonts w:cstheme="minorHAnsi"/>
          <w:shd w:val="clear" w:color="auto" w:fill="FFFFFF"/>
          <w:lang w:val="it-IT"/>
        </w:rPr>
        <w:t xml:space="preserve">da martedì a domenica dalle 10:00 alle 18:00 previa prenotazione e </w:t>
      </w:r>
      <w:hyperlink r:id="rId10" w:history="1">
        <w:r w:rsidRPr="009F7267">
          <w:rPr>
            <w:rStyle w:val="Collegamentoipertestuale"/>
            <w:rFonts w:cstheme="minorHAnsi"/>
            <w:shd w:val="clear" w:color="auto" w:fill="FFFFFF"/>
            <w:lang w:val="it-IT"/>
          </w:rPr>
          <w:t xml:space="preserve">acquisto di </w:t>
        </w:r>
        <w:proofErr w:type="spellStart"/>
        <w:r w:rsidRPr="009F7267">
          <w:rPr>
            <w:rStyle w:val="Collegamentoipertestuale"/>
            <w:rFonts w:cstheme="minorHAnsi"/>
            <w:shd w:val="clear" w:color="auto" w:fill="FFFFFF"/>
            <w:lang w:val="it-IT"/>
          </w:rPr>
          <w:t>biglietti</w:t>
        </w:r>
      </w:hyperlink>
      <w:proofErr w:type="spellEnd"/>
    </w:p>
    <w:p w14:paraId="27FC602F" w14:textId="1F140856" w:rsidR="004B6517" w:rsidRPr="00432CE8" w:rsidRDefault="004B6517" w:rsidP="00432CE8">
      <w:pPr>
        <w:pStyle w:val="Paragrafoelenco"/>
        <w:numPr>
          <w:ilvl w:val="0"/>
          <w:numId w:val="2"/>
        </w:numPr>
        <w:shd w:val="clear" w:color="auto" w:fill="FFFFFF"/>
        <w:spacing w:after="0"/>
        <w:jc w:val="both"/>
        <w:rPr>
          <w:rStyle w:val="Collegamentoipertestuale"/>
          <w:rFonts w:eastAsia="Times New Roman" w:cstheme="minorHAnsi"/>
          <w:color w:val="000000"/>
          <w:u w:val="none"/>
          <w:lang w:val="it-IT" w:eastAsia="es-PE"/>
        </w:rPr>
      </w:pPr>
      <w:r w:rsidRPr="00432CE8">
        <w:rPr>
          <w:rFonts w:eastAsia="Times New Roman" w:cstheme="minorHAnsi"/>
          <w:color w:val="000000"/>
          <w:lang w:val="it-IT" w:eastAsia="es-PE"/>
        </w:rPr>
        <w:t xml:space="preserve">La </w:t>
      </w:r>
      <w:r w:rsidR="00837827" w:rsidRPr="00432CE8">
        <w:rPr>
          <w:rFonts w:eastAsia="Times New Roman" w:cstheme="minorHAnsi"/>
          <w:color w:val="000000"/>
          <w:lang w:val="it-IT" w:eastAsia="es-PE"/>
        </w:rPr>
        <w:t xml:space="preserve">17ª </w:t>
      </w:r>
      <w:r w:rsidRPr="00432CE8">
        <w:rPr>
          <w:rFonts w:eastAsia="Times New Roman" w:cstheme="minorHAnsi"/>
          <w:color w:val="000000"/>
          <w:lang w:val="it-IT" w:eastAsia="es-PE"/>
        </w:rPr>
        <w:t>Mostra Internazionale di Architettura della Biennale di Venezia rimane aperta fino al 21 novembre e ha come tema centrale "How Will We Live Together?</w:t>
      </w:r>
      <w:r w:rsidR="00432CE8" w:rsidRPr="00432CE8">
        <w:rPr>
          <w:rFonts w:eastAsia="Times New Roman" w:cstheme="minorHAnsi"/>
          <w:color w:val="000000"/>
          <w:lang w:val="it-IT" w:eastAsia="es-PE"/>
        </w:rPr>
        <w:t>”</w:t>
      </w:r>
    </w:p>
    <w:p w14:paraId="1802ADB0" w14:textId="53290354" w:rsidR="004B6517" w:rsidRPr="00A748BF" w:rsidRDefault="004B6517" w:rsidP="00432CE8">
      <w:pPr>
        <w:pStyle w:val="Paragrafoelenco"/>
        <w:numPr>
          <w:ilvl w:val="0"/>
          <w:numId w:val="2"/>
        </w:numPr>
        <w:spacing w:after="0"/>
        <w:jc w:val="both"/>
        <w:rPr>
          <w:rFonts w:eastAsia="Times New Roman" w:cstheme="minorHAnsi"/>
          <w:color w:val="000000"/>
          <w:lang w:val="it-IT" w:eastAsia="es-PE"/>
        </w:rPr>
      </w:pPr>
      <w:r w:rsidRPr="00A748BF">
        <w:rPr>
          <w:rFonts w:eastAsia="Times New Roman" w:cstheme="minorHAnsi"/>
          <w:color w:val="000000"/>
          <w:lang w:val="it-IT" w:eastAsia="es-PE"/>
        </w:rPr>
        <w:t>Per saperne di più sul progetto "Playground: artefatti per interagire" fai un tour a 360° del padiglione del Perù qui:</w:t>
      </w:r>
      <w:r w:rsidR="00837827" w:rsidRPr="00A748BF">
        <w:rPr>
          <w:rFonts w:eastAsia="Times New Roman" w:cstheme="minorHAnsi"/>
          <w:color w:val="000000"/>
          <w:lang w:val="it-IT" w:eastAsia="es-PE"/>
        </w:rPr>
        <w:t xml:space="preserve"> </w:t>
      </w:r>
      <w:hyperlink r:id="rId11" w:history="1">
        <w:r w:rsidR="009F7267" w:rsidRPr="000548F8">
          <w:rPr>
            <w:rStyle w:val="Collegamentoipertestuale"/>
            <w:rFonts w:eastAsia="Times New Roman" w:cstheme="minorHAnsi"/>
            <w:lang w:val="it-IT" w:eastAsia="es-PE"/>
          </w:rPr>
          <w:t>https://www.pcp.org.pe/playgro</w:t>
        </w:r>
        <w:r w:rsidR="009F7267" w:rsidRPr="000548F8">
          <w:rPr>
            <w:rStyle w:val="Collegamentoipertestuale"/>
            <w:rFonts w:eastAsia="Times New Roman" w:cstheme="minorHAnsi"/>
            <w:lang w:val="it-IT" w:eastAsia="es-PE"/>
          </w:rPr>
          <w:t>u</w:t>
        </w:r>
        <w:r w:rsidR="009F7267" w:rsidRPr="000548F8">
          <w:rPr>
            <w:rStyle w:val="Collegamentoipertestuale"/>
            <w:rFonts w:eastAsia="Times New Roman" w:cstheme="minorHAnsi"/>
            <w:lang w:val="it-IT" w:eastAsia="es-PE"/>
          </w:rPr>
          <w:t>nd/</w:t>
        </w:r>
      </w:hyperlink>
      <w:r w:rsidRPr="00A748BF">
        <w:rPr>
          <w:rFonts w:eastAsia="Times New Roman" w:cstheme="minorHAnsi"/>
          <w:color w:val="000000"/>
          <w:lang w:val="it-IT" w:eastAsia="es-PE"/>
        </w:rPr>
        <w:t xml:space="preserve">  </w:t>
      </w:r>
    </w:p>
    <w:p w14:paraId="7935E1B3" w14:textId="77777777" w:rsidR="00A748BF" w:rsidRDefault="00A748BF" w:rsidP="00432CE8">
      <w:pPr>
        <w:spacing w:after="0"/>
        <w:jc w:val="both"/>
        <w:rPr>
          <w:rFonts w:eastAsia="Times New Roman" w:cstheme="minorHAnsi"/>
          <w:color w:val="000000"/>
          <w:lang w:eastAsia="es-PE"/>
        </w:rPr>
      </w:pPr>
    </w:p>
    <w:p w14:paraId="7318E325" w14:textId="784D58DD" w:rsidR="00432CE8" w:rsidRPr="00FF68E0" w:rsidRDefault="00A748BF" w:rsidP="00432CE8">
      <w:pPr>
        <w:spacing w:after="0"/>
        <w:jc w:val="both"/>
        <w:rPr>
          <w:rFonts w:eastAsia="Times New Roman" w:cstheme="minorHAnsi"/>
          <w:lang w:eastAsia="es-PE"/>
        </w:rPr>
      </w:pPr>
      <w:r w:rsidRPr="00FF68E0">
        <w:rPr>
          <w:rFonts w:eastAsia="Times New Roman" w:cstheme="minorHAnsi"/>
          <w:lang w:eastAsia="es-PE"/>
        </w:rPr>
        <w:t xml:space="preserve">Scarica le immagini </w:t>
      </w:r>
      <w:hyperlink r:id="rId12" w:history="1">
        <w:r w:rsidRPr="00FF68E0">
          <w:rPr>
            <w:rStyle w:val="Collegamentoipertestuale"/>
            <w:rFonts w:eastAsia="Times New Roman" w:cstheme="minorHAnsi"/>
            <w:lang w:eastAsia="es-PE"/>
          </w:rPr>
          <w:t>qui</w:t>
        </w:r>
      </w:hyperlink>
    </w:p>
    <w:p w14:paraId="54001819" w14:textId="77777777" w:rsidR="00A748BF" w:rsidRPr="00837827" w:rsidRDefault="00A748BF" w:rsidP="00432CE8">
      <w:pPr>
        <w:spacing w:after="0"/>
        <w:jc w:val="both"/>
        <w:rPr>
          <w:rFonts w:eastAsia="Times New Roman" w:cstheme="minorHAnsi"/>
          <w:color w:val="000000"/>
          <w:lang w:eastAsia="es-PE"/>
        </w:rPr>
      </w:pPr>
    </w:p>
    <w:p w14:paraId="06635ADE" w14:textId="54E2BBC9" w:rsidR="00EA3CF7" w:rsidRDefault="00EA3CF7" w:rsidP="00EA3CF7">
      <w:pPr>
        <w:jc w:val="both"/>
        <w:rPr>
          <w:rFonts w:cstheme="minorHAnsi"/>
          <w:sz w:val="18"/>
        </w:rPr>
      </w:pPr>
      <w:r w:rsidRPr="00837827">
        <w:rPr>
          <w:rFonts w:cstheme="minorHAnsi"/>
          <w:b/>
          <w:sz w:val="18"/>
        </w:rPr>
        <w:t>PROMPERÚ</w:t>
      </w:r>
      <w:r w:rsidRPr="00837827">
        <w:rPr>
          <w:rFonts w:cstheme="minorHAnsi"/>
          <w:sz w:val="18"/>
        </w:rPr>
        <w:t xml:space="preserve"> - La Commissione Peruviana per la Promozione delle Esportazioni e del Turismo l'organismo ufficiale specializzato in promozione turistica e marketing, collegato al Ministero del Commercio Estero e del Turismo del Perù. </w:t>
      </w:r>
    </w:p>
    <w:p w14:paraId="194AE71D" w14:textId="77777777" w:rsidR="00A748BF" w:rsidRPr="00837827" w:rsidRDefault="00A748BF" w:rsidP="00EA3CF7">
      <w:pPr>
        <w:jc w:val="both"/>
        <w:rPr>
          <w:rFonts w:cstheme="minorHAnsi"/>
          <w:sz w:val="18"/>
        </w:rPr>
      </w:pPr>
    </w:p>
    <w:p w14:paraId="2CA1B178" w14:textId="77777777" w:rsidR="00EA3CF7" w:rsidRPr="00837827" w:rsidRDefault="00EA3CF7" w:rsidP="00EA3CF7">
      <w:pPr>
        <w:jc w:val="both"/>
        <w:rPr>
          <w:rFonts w:cstheme="minorHAnsi"/>
          <w:sz w:val="18"/>
        </w:rPr>
      </w:pPr>
      <w:r w:rsidRPr="00837827">
        <w:rPr>
          <w:rFonts w:cstheme="minorHAnsi"/>
          <w:sz w:val="18"/>
        </w:rPr>
        <w:t>Per ulteriori informazioni:</w:t>
      </w:r>
    </w:p>
    <w:p w14:paraId="5222129F" w14:textId="77777777" w:rsidR="00EA3CF7" w:rsidRPr="00837827" w:rsidRDefault="009F7267" w:rsidP="00EA3CF7">
      <w:pPr>
        <w:jc w:val="both"/>
        <w:rPr>
          <w:rFonts w:cstheme="minorHAnsi"/>
          <w:b/>
          <w:bCs/>
          <w:sz w:val="16"/>
        </w:rPr>
      </w:pPr>
      <w:hyperlink r:id="rId13" w:history="1">
        <w:r w:rsidR="00EA3CF7" w:rsidRPr="00837827">
          <w:rPr>
            <w:rStyle w:val="Collegamentoipertestuale"/>
            <w:rFonts w:cstheme="minorHAnsi"/>
            <w:b/>
            <w:bCs/>
            <w:sz w:val="16"/>
          </w:rPr>
          <w:t>http://www.peru.travel</w:t>
        </w:r>
      </w:hyperlink>
    </w:p>
    <w:p w14:paraId="0031494A" w14:textId="77777777" w:rsidR="00EA3CF7" w:rsidRPr="00837827" w:rsidRDefault="00EA3CF7" w:rsidP="00EA3CF7">
      <w:pPr>
        <w:jc w:val="both"/>
        <w:rPr>
          <w:rFonts w:cstheme="minorHAnsi"/>
          <w:sz w:val="16"/>
          <w:lang w:val="en-US"/>
        </w:rPr>
      </w:pPr>
      <w:r w:rsidRPr="00837827">
        <w:rPr>
          <w:rFonts w:cstheme="minorHAnsi"/>
          <w:sz w:val="16"/>
          <w:lang w:val="en-US"/>
        </w:rPr>
        <w:t xml:space="preserve">Facebook: </w:t>
      </w:r>
      <w:hyperlink r:id="rId14" w:history="1">
        <w:r w:rsidRPr="00837827">
          <w:rPr>
            <w:rFonts w:cstheme="minorHAnsi"/>
            <w:sz w:val="16"/>
            <w:lang w:val="en-US"/>
          </w:rPr>
          <w:t>www.facebook.com/visitperu</w:t>
        </w:r>
      </w:hyperlink>
      <w:r w:rsidRPr="00837827">
        <w:rPr>
          <w:rFonts w:cstheme="minorHAnsi"/>
          <w:sz w:val="16"/>
          <w:lang w:val="en-US"/>
        </w:rPr>
        <w:t xml:space="preserve"> - Instagram: </w:t>
      </w:r>
      <w:hyperlink r:id="rId15" w:history="1">
        <w:r w:rsidRPr="00837827">
          <w:rPr>
            <w:rFonts w:cstheme="minorHAnsi"/>
            <w:sz w:val="16"/>
            <w:lang w:val="en-US"/>
          </w:rPr>
          <w:t>https://instagram.com/peru/</w:t>
        </w:r>
      </w:hyperlink>
    </w:p>
    <w:p w14:paraId="7DD54218" w14:textId="77777777" w:rsidR="00EA3CF7" w:rsidRPr="00837827" w:rsidRDefault="00EA3CF7" w:rsidP="00EA3CF7">
      <w:pPr>
        <w:jc w:val="both"/>
        <w:rPr>
          <w:rFonts w:cstheme="minorHAnsi"/>
          <w:sz w:val="16"/>
          <w:lang w:val="en-US"/>
        </w:rPr>
      </w:pPr>
      <w:r w:rsidRPr="00837827">
        <w:rPr>
          <w:rFonts w:cstheme="minorHAnsi"/>
          <w:sz w:val="16"/>
          <w:lang w:val="en-US"/>
        </w:rPr>
        <w:t xml:space="preserve">Twitter: </w:t>
      </w:r>
      <w:hyperlink r:id="rId16" w:history="1">
        <w:r w:rsidRPr="00837827">
          <w:rPr>
            <w:rFonts w:cstheme="minorHAnsi"/>
            <w:sz w:val="16"/>
            <w:lang w:val="en-US"/>
          </w:rPr>
          <w:t>https://twitter.com/visitperu</w:t>
        </w:r>
      </w:hyperlink>
      <w:r w:rsidRPr="00837827">
        <w:rPr>
          <w:rFonts w:cstheme="minorHAnsi"/>
          <w:sz w:val="16"/>
          <w:lang w:val="en-US"/>
        </w:rPr>
        <w:t xml:space="preserve"> - </w:t>
      </w:r>
      <w:proofErr w:type="spellStart"/>
      <w:r w:rsidRPr="00837827">
        <w:rPr>
          <w:rFonts w:cstheme="minorHAnsi"/>
          <w:sz w:val="16"/>
          <w:lang w:val="en-US"/>
        </w:rPr>
        <w:t>Youtube</w:t>
      </w:r>
      <w:proofErr w:type="spellEnd"/>
      <w:r w:rsidRPr="00837827">
        <w:rPr>
          <w:rFonts w:cstheme="minorHAnsi"/>
          <w:sz w:val="16"/>
          <w:lang w:val="en-US"/>
        </w:rPr>
        <w:t xml:space="preserve">: </w:t>
      </w:r>
      <w:hyperlink r:id="rId17" w:history="1">
        <w:r w:rsidRPr="00837827">
          <w:rPr>
            <w:rFonts w:cstheme="minorHAnsi"/>
            <w:sz w:val="16"/>
            <w:lang w:val="en-US"/>
          </w:rPr>
          <w:t>www.youtube.com/VisitPeru</w:t>
        </w:r>
      </w:hyperlink>
    </w:p>
    <w:sectPr w:rsidR="00EA3CF7" w:rsidRPr="00837827" w:rsidSect="00A71521">
      <w:headerReference w:type="default" r:id="rId18"/>
      <w:footerReference w:type="default" r:id="rId19"/>
      <w:pgSz w:w="11906" w:h="16838"/>
      <w:pgMar w:top="1417" w:right="1134" w:bottom="1134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8A018" w14:textId="77777777" w:rsidR="004645FC" w:rsidRDefault="004645FC" w:rsidP="00A71521">
      <w:pPr>
        <w:spacing w:after="0" w:line="240" w:lineRule="auto"/>
      </w:pPr>
      <w:r>
        <w:separator/>
      </w:r>
    </w:p>
  </w:endnote>
  <w:endnote w:type="continuationSeparator" w:id="0">
    <w:p w14:paraId="62D50FAE" w14:textId="77777777" w:rsidR="004645FC" w:rsidRDefault="004645FC" w:rsidP="00A7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CFE4" w14:textId="6D85AA0B" w:rsidR="00275923" w:rsidRPr="00275923" w:rsidRDefault="00275923" w:rsidP="00275923">
    <w:pPr>
      <w:pStyle w:val="Pidipagina"/>
      <w:tabs>
        <w:tab w:val="clear" w:pos="4819"/>
      </w:tabs>
      <w:rPr>
        <w:b/>
        <w:bCs/>
        <w:sz w:val="16"/>
        <w:szCs w:val="16"/>
      </w:rPr>
    </w:pPr>
    <w:r w:rsidRPr="00EA3CF7">
      <w:rPr>
        <w:b/>
        <w:bCs/>
        <w:sz w:val="16"/>
        <w:szCs w:val="16"/>
        <w:lang w:val="es-ES"/>
      </w:rPr>
      <w:t xml:space="preserve">    Global Tourist – Ufficio Stampa Italia</w:t>
    </w:r>
    <w:r w:rsidRPr="00EA3CF7">
      <w:rPr>
        <w:b/>
        <w:bCs/>
        <w:sz w:val="16"/>
        <w:szCs w:val="16"/>
        <w:lang w:val="es-ES"/>
      </w:rPr>
      <w:tab/>
      <w:t xml:space="preserve">PROMPERÙ </w:t>
    </w:r>
    <w:r w:rsidRPr="00EA3CF7">
      <w:rPr>
        <w:sz w:val="16"/>
        <w:szCs w:val="16"/>
        <w:lang w:val="es-ES"/>
      </w:rPr>
      <w:t>Comisión de Promoción del Perú para la Exportación y el Turismo</w:t>
    </w:r>
    <w:r w:rsidRPr="00EA3CF7">
      <w:rPr>
        <w:b/>
        <w:bCs/>
        <w:sz w:val="16"/>
        <w:szCs w:val="16"/>
        <w:lang w:val="es-ES"/>
      </w:rPr>
      <w:br/>
    </w:r>
    <w:r w:rsidRPr="00EA3CF7">
      <w:rPr>
        <w:sz w:val="16"/>
        <w:szCs w:val="16"/>
        <w:lang w:val="es-ES"/>
      </w:rPr>
      <w:t>Via Boucheron, 14 10122 Torino (To) Italy                                                                                      Karla</w:t>
    </w:r>
    <w:r w:rsidR="00775F83" w:rsidRPr="00EA3CF7">
      <w:rPr>
        <w:sz w:val="16"/>
        <w:szCs w:val="16"/>
        <w:lang w:val="es-ES"/>
      </w:rPr>
      <w:t xml:space="preserve"> Acuña</w:t>
    </w:r>
    <w:r w:rsidRPr="00EA3CF7">
      <w:rPr>
        <w:sz w:val="16"/>
        <w:szCs w:val="16"/>
        <w:lang w:val="es-ES"/>
      </w:rPr>
      <w:t>: kacuna@promperu</w:t>
    </w:r>
    <w:r w:rsidR="00947AE8">
      <w:rPr>
        <w:sz w:val="16"/>
        <w:szCs w:val="16"/>
        <w:lang w:val="es-ES"/>
      </w:rPr>
      <w:t>ext.pe</w:t>
    </w:r>
    <w:r w:rsidRPr="00EA3CF7">
      <w:rPr>
        <w:sz w:val="16"/>
        <w:szCs w:val="16"/>
        <w:lang w:val="es-ES"/>
      </w:rPr>
      <w:br/>
    </w:r>
    <w:r w:rsidR="009F7267">
      <w:fldChar w:fldCharType="begin"/>
    </w:r>
    <w:r w:rsidR="009F7267" w:rsidRPr="009F7267">
      <w:rPr>
        <w:lang w:val="es-ES"/>
      </w:rPr>
      <w:instrText xml:space="preserve"> HYPERLINK "mailto:peru@globaltourist.it" </w:instrText>
    </w:r>
    <w:r w:rsidR="009F7267">
      <w:fldChar w:fldCharType="separate"/>
    </w:r>
    <w:r w:rsidRPr="00EA3CF7">
      <w:rPr>
        <w:rStyle w:val="Collegamentoipertestuale"/>
        <w:sz w:val="16"/>
        <w:szCs w:val="16"/>
        <w:lang w:val="es-ES"/>
      </w:rPr>
      <w:t>peru@globaltourist.it</w:t>
    </w:r>
    <w:r w:rsidR="009F7267">
      <w:rPr>
        <w:rStyle w:val="Collegamentoipertestuale"/>
        <w:sz w:val="16"/>
        <w:szCs w:val="16"/>
        <w:lang w:val="es-ES"/>
      </w:rPr>
      <w:fldChar w:fldCharType="end"/>
    </w:r>
    <w:r w:rsidRPr="00EA3CF7">
      <w:rPr>
        <w:sz w:val="16"/>
        <w:szCs w:val="16"/>
        <w:lang w:val="es-ES"/>
      </w:rPr>
      <w:t xml:space="preserve"> – </w:t>
    </w:r>
    <w:hyperlink r:id="rId1" w:history="1">
      <w:r w:rsidRPr="00EA3CF7">
        <w:rPr>
          <w:rStyle w:val="Collegamentoipertestuale"/>
          <w:sz w:val="16"/>
          <w:szCs w:val="16"/>
          <w:lang w:val="es-ES"/>
        </w:rPr>
        <w:t>www.globaltourist.it</w:t>
      </w:r>
    </w:hyperlink>
    <w:r w:rsidRPr="00EA3CF7">
      <w:rPr>
        <w:sz w:val="16"/>
        <w:szCs w:val="16"/>
        <w:lang w:val="es-ES"/>
      </w:rPr>
      <w:t xml:space="preserve">                                                                                      Oficina de Comunicacìon e Imagen</w:t>
    </w:r>
    <w:r w:rsidRPr="00EA3CF7">
      <w:rPr>
        <w:sz w:val="16"/>
        <w:szCs w:val="16"/>
        <w:lang w:val="es-ES"/>
      </w:rPr>
      <w:br/>
      <w:t xml:space="preserve">               Tel. </w:t>
    </w:r>
    <w:r w:rsidRPr="00275923">
      <w:rPr>
        <w:sz w:val="16"/>
        <w:szCs w:val="16"/>
      </w:rPr>
      <w:t>+39 0114546557</w:t>
    </w:r>
    <w:r>
      <w:rPr>
        <w:sz w:val="16"/>
        <w:szCs w:val="16"/>
      </w:rPr>
      <w:t xml:space="preserve">                                                                                                         </w:t>
    </w:r>
    <w:r w:rsidR="001C03E8">
      <w:rPr>
        <w:sz w:val="16"/>
        <w:szCs w:val="16"/>
      </w:rPr>
      <w:t xml:space="preserve"> </w:t>
    </w:r>
    <w:r>
      <w:rPr>
        <w:sz w:val="16"/>
        <w:szCs w:val="16"/>
      </w:rPr>
      <w:t>Tel. +51</w:t>
    </w:r>
    <w:r w:rsidR="009628B9">
      <w:rPr>
        <w:sz w:val="16"/>
        <w:szCs w:val="16"/>
      </w:rPr>
      <w:t xml:space="preserve"> </w:t>
    </w:r>
    <w:r>
      <w:rPr>
        <w:sz w:val="16"/>
        <w:szCs w:val="16"/>
      </w:rPr>
      <w:t>6167300 anexos 1458 – 1441 - 1454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3A18E" w14:textId="77777777" w:rsidR="004645FC" w:rsidRDefault="004645FC" w:rsidP="00A71521">
      <w:pPr>
        <w:spacing w:after="0" w:line="240" w:lineRule="auto"/>
      </w:pPr>
      <w:r>
        <w:separator/>
      </w:r>
    </w:p>
  </w:footnote>
  <w:footnote w:type="continuationSeparator" w:id="0">
    <w:p w14:paraId="5BFF5D82" w14:textId="77777777" w:rsidR="004645FC" w:rsidRDefault="004645FC" w:rsidP="00A71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D595" w14:textId="40574F3A" w:rsidR="00A71521" w:rsidRDefault="009405A7">
    <w:pPr>
      <w:pStyle w:val="Intestazione"/>
    </w:pPr>
    <w:r>
      <w:rPr>
        <w:noProof/>
        <w:lang w:val="es-PE" w:eastAsia="es-PE"/>
      </w:rPr>
      <w:drawing>
        <wp:anchor distT="0" distB="0" distL="114300" distR="114300" simplePos="0" relativeHeight="251650560" behindDoc="1" locked="0" layoutInCell="1" allowOverlap="1" wp14:anchorId="78F8C225" wp14:editId="7399F8A8">
          <wp:simplePos x="0" y="0"/>
          <wp:positionH relativeFrom="margin">
            <wp:posOffset>-305682</wp:posOffset>
          </wp:positionH>
          <wp:positionV relativeFrom="paragraph">
            <wp:posOffset>200660</wp:posOffset>
          </wp:positionV>
          <wp:extent cx="1847850" cy="229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70016" behindDoc="1" locked="0" layoutInCell="1" allowOverlap="1" wp14:anchorId="7D0AB4CB" wp14:editId="478E470A">
          <wp:simplePos x="0" y="0"/>
          <wp:positionH relativeFrom="margin">
            <wp:posOffset>2156459</wp:posOffset>
          </wp:positionH>
          <wp:positionV relativeFrom="paragraph">
            <wp:posOffset>-610870</wp:posOffset>
          </wp:positionV>
          <wp:extent cx="2124075" cy="1485900"/>
          <wp:effectExtent l="0" t="0" r="952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9" t="-1327" r="9863" b="17888"/>
                  <a:stretch/>
                </pic:blipFill>
                <pic:spPr bwMode="auto">
                  <a:xfrm>
                    <a:off x="0" y="0"/>
                    <a:ext cx="2124507" cy="14862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521">
      <w:rPr>
        <w:noProof/>
        <w:lang w:val="es-PE" w:eastAsia="es-PE"/>
      </w:rPr>
      <w:drawing>
        <wp:anchor distT="0" distB="0" distL="114300" distR="114300" simplePos="0" relativeHeight="251682304" behindDoc="1" locked="0" layoutInCell="1" allowOverlap="1" wp14:anchorId="5EBA0EA5" wp14:editId="26FCDCED">
          <wp:simplePos x="0" y="0"/>
          <wp:positionH relativeFrom="page">
            <wp:posOffset>5772150</wp:posOffset>
          </wp:positionH>
          <wp:positionV relativeFrom="paragraph">
            <wp:posOffset>-172720</wp:posOffset>
          </wp:positionV>
          <wp:extent cx="1672769" cy="866775"/>
          <wp:effectExtent l="0" t="0" r="381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769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0F9A2C" w14:textId="52B614F3" w:rsidR="00A71521" w:rsidRDefault="00A71521">
    <w:pPr>
      <w:pStyle w:val="Intestazione"/>
    </w:pPr>
  </w:p>
  <w:p w14:paraId="1B29CC4E" w14:textId="43720C93" w:rsidR="00A71521" w:rsidRDefault="00A71521">
    <w:pPr>
      <w:pStyle w:val="Intestazione"/>
    </w:pPr>
  </w:p>
  <w:p w14:paraId="27EE877B" w14:textId="4C9BE640" w:rsidR="00A71521" w:rsidRDefault="00A71521">
    <w:pPr>
      <w:pStyle w:val="Intestazione"/>
    </w:pPr>
  </w:p>
  <w:p w14:paraId="13DCF5F3" w14:textId="20EA982B" w:rsidR="00A71521" w:rsidRDefault="00A71521">
    <w:pPr>
      <w:pStyle w:val="Intestazione"/>
    </w:pPr>
  </w:p>
  <w:p w14:paraId="4E475A45" w14:textId="7A9A3FA8" w:rsidR="00A71521" w:rsidRDefault="00A715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C4B4E"/>
    <w:multiLevelType w:val="hybridMultilevel"/>
    <w:tmpl w:val="54DE268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833B0"/>
    <w:multiLevelType w:val="hybridMultilevel"/>
    <w:tmpl w:val="5F12C4A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521"/>
    <w:rsid w:val="000107DC"/>
    <w:rsid w:val="00055FDE"/>
    <w:rsid w:val="000C11D3"/>
    <w:rsid w:val="001C03E8"/>
    <w:rsid w:val="00275923"/>
    <w:rsid w:val="002C65F4"/>
    <w:rsid w:val="003F4499"/>
    <w:rsid w:val="003F7663"/>
    <w:rsid w:val="00432CE8"/>
    <w:rsid w:val="004645FC"/>
    <w:rsid w:val="004B6517"/>
    <w:rsid w:val="00775F83"/>
    <w:rsid w:val="00837827"/>
    <w:rsid w:val="009405A7"/>
    <w:rsid w:val="00947AE8"/>
    <w:rsid w:val="009628B9"/>
    <w:rsid w:val="009F7267"/>
    <w:rsid w:val="00A71521"/>
    <w:rsid w:val="00A748BF"/>
    <w:rsid w:val="00E74692"/>
    <w:rsid w:val="00EA3CF7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A8C555"/>
  <w15:chartTrackingRefBased/>
  <w15:docId w15:val="{857F754B-2178-4F0C-A046-56269DCE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521"/>
  </w:style>
  <w:style w:type="paragraph" w:styleId="Pidipagina">
    <w:name w:val="footer"/>
    <w:basedOn w:val="Normale"/>
    <w:link w:val="Pidipagina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521"/>
  </w:style>
  <w:style w:type="character" w:styleId="Collegamentoipertestuale">
    <w:name w:val="Hyperlink"/>
    <w:basedOn w:val="Carpredefinitoparagrafo"/>
    <w:uiPriority w:val="99"/>
    <w:unhideWhenUsed/>
    <w:rsid w:val="0027592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592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B6517"/>
    <w:pPr>
      <w:ind w:left="720"/>
      <w:contextualSpacing/>
    </w:pPr>
    <w:rPr>
      <w:lang w:val="es-PE"/>
    </w:rPr>
  </w:style>
  <w:style w:type="paragraph" w:styleId="NormaleWeb">
    <w:name w:val="Normal (Web)"/>
    <w:basedOn w:val="Normale"/>
    <w:uiPriority w:val="99"/>
    <w:unhideWhenUsed/>
    <w:rsid w:val="004B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827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7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eru.trave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pcp.org.pe/playground/assets/Bienal-2021.mp4" TargetMode="External"/><Relationship Id="rId12" Type="http://schemas.openxmlformats.org/officeDocument/2006/relationships/hyperlink" Target="https://drive.google.com/drive/folders/1nUmBlTyNm1n-I_M1EDgIqtBeG4OG4VJQ?usp=sharing" TargetMode="External"/><Relationship Id="rId17" Type="http://schemas.openxmlformats.org/officeDocument/2006/relationships/hyperlink" Target="http://www.youtube.com/VisitPe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visitpe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cp.org.pe/playground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stagram.com/peru/" TargetMode="External"/><Relationship Id="rId10" Type="http://schemas.openxmlformats.org/officeDocument/2006/relationships/hyperlink" Target="https://labiennale.vivaticket.it/it/tour/la-biennale-di-venezia-architettura/653?qubsq=cc445367-5897-4ea0-82e5-2adcee1bf128&amp;qubsp=f00971d9-9b9e-484e-99a4-71944d911bf4&amp;qubsts=1630656036&amp;qubsc=bestunion&amp;qubse=vivaticketserver&amp;qubsrt=Safetynet&amp;qubsh=b9e52e50d40e4ff57cd24e53eb83dc2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pcp.org.pe/playground/" TargetMode="External"/><Relationship Id="rId14" Type="http://schemas.openxmlformats.org/officeDocument/2006/relationships/hyperlink" Target="http://www.facebook.com/visitpe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lobaltouris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Ticli</dc:creator>
  <cp:keywords/>
  <dc:description/>
  <cp:lastModifiedBy>Valentina Humbert</cp:lastModifiedBy>
  <cp:revision>12</cp:revision>
  <dcterms:created xsi:type="dcterms:W3CDTF">2021-08-06T10:42:00Z</dcterms:created>
  <dcterms:modified xsi:type="dcterms:W3CDTF">2021-09-03T08:02:00Z</dcterms:modified>
</cp:coreProperties>
</file>